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E49E" w14:textId="5A5D814E" w:rsidR="00914EE3" w:rsidRPr="00531116" w:rsidRDefault="00914EE3" w:rsidP="00914EE3">
      <w:pPr>
        <w:jc w:val="center"/>
        <w:rPr>
          <w:rFonts w:ascii="Calibri" w:hAnsi="Calibri" w:cs="Calibri"/>
          <w:b/>
          <w:bCs/>
          <w:color w:val="000000" w:themeColor="text1"/>
        </w:rPr>
      </w:pPr>
    </w:p>
    <w:p w14:paraId="5D747CEB" w14:textId="74CD55AB" w:rsidR="0069635A" w:rsidRPr="00531116" w:rsidRDefault="004340C2" w:rsidP="00914EE3">
      <w:pPr>
        <w:rPr>
          <w:rFonts w:ascii="Calibri" w:hAnsi="Calibri" w:cs="Calibri"/>
          <w:b/>
          <w:bCs/>
        </w:rPr>
      </w:pPr>
      <w:r w:rsidRPr="00531116">
        <w:rPr>
          <w:rFonts w:ascii="Calibri" w:hAnsi="Calibri" w:cs="Calibri"/>
          <w:noProof/>
        </w:rPr>
        <w:drawing>
          <wp:inline distT="0" distB="0" distL="0" distR="0" wp14:anchorId="045C896B" wp14:editId="41E1255E">
            <wp:extent cx="2501900" cy="381000"/>
            <wp:effectExtent l="0" t="0" r="0" b="0"/>
            <wp:docPr id="3" name="Picture 2" descr="\\nmshare.corp.nm.org\nmhomes\s\SEGRETIS\MyData\My Pictures\NM family long logo.png"/>
            <wp:cNvGraphicFramePr/>
            <a:graphic xmlns:a="http://schemas.openxmlformats.org/drawingml/2006/main">
              <a:graphicData uri="http://schemas.openxmlformats.org/drawingml/2006/picture">
                <pic:pic xmlns:pic="http://schemas.openxmlformats.org/drawingml/2006/picture">
                  <pic:nvPicPr>
                    <pic:cNvPr id="3" name="Picture 2" descr="\\nmshare.corp.nm.org\nmhomes\s\SEGRETIS\MyData\My Pictures\NM family long logo.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0" cy="381000"/>
                    </a:xfrm>
                    <a:prstGeom prst="rect">
                      <a:avLst/>
                    </a:prstGeom>
                    <a:noFill/>
                    <a:ln>
                      <a:noFill/>
                    </a:ln>
                  </pic:spPr>
                </pic:pic>
              </a:graphicData>
            </a:graphic>
          </wp:inline>
        </w:drawing>
      </w:r>
    </w:p>
    <w:p w14:paraId="58E92E5E" w14:textId="77777777" w:rsidR="0069635A" w:rsidRPr="00531116" w:rsidRDefault="0069635A" w:rsidP="00914EE3">
      <w:pPr>
        <w:rPr>
          <w:rFonts w:ascii="Calibri" w:hAnsi="Calibri" w:cs="Calibri"/>
          <w:b/>
          <w:bCs/>
        </w:rPr>
      </w:pPr>
    </w:p>
    <w:p w14:paraId="2CD54EB4" w14:textId="4D0D6A25" w:rsidR="00193FCB" w:rsidRPr="00193FCB" w:rsidRDefault="00193FCB" w:rsidP="00193FCB">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2025 Davee Foundation Lecture</w:t>
      </w:r>
    </w:p>
    <w:p w14:paraId="7732B909" w14:textId="217F5464" w:rsidR="00193FCB" w:rsidRPr="00193FCB" w:rsidRDefault="00193FCB" w:rsidP="00193FCB">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and Resident Research Day</w:t>
      </w:r>
    </w:p>
    <w:p w14:paraId="0E735765" w14:textId="77777777" w:rsidR="00193FCB" w:rsidRDefault="00193FCB" w:rsidP="00914EE3">
      <w:pPr>
        <w:shd w:val="clear" w:color="auto" w:fill="FFFFFF"/>
        <w:spacing w:line="288" w:lineRule="atLeast"/>
        <w:textAlignment w:val="baseline"/>
        <w:outlineLvl w:val="2"/>
        <w:rPr>
          <w:rFonts w:ascii="Calibri" w:hAnsi="Calibri" w:cs="Calibri"/>
          <w:b/>
          <w:bCs/>
          <w:sz w:val="28"/>
          <w:szCs w:val="28"/>
        </w:rPr>
      </w:pPr>
    </w:p>
    <w:p w14:paraId="31EBC7A2" w14:textId="15CA56DF" w:rsidR="00193FCB" w:rsidRPr="00193FCB" w:rsidRDefault="00193FCB" w:rsidP="00914EE3">
      <w:pPr>
        <w:shd w:val="clear" w:color="auto" w:fill="FFFFFF"/>
        <w:spacing w:line="288" w:lineRule="atLeast"/>
        <w:textAlignment w:val="baseline"/>
        <w:outlineLvl w:val="2"/>
        <w:rPr>
          <w:rFonts w:ascii="Calibri" w:hAnsi="Calibri" w:cs="Calibri"/>
          <w:b/>
          <w:bCs/>
          <w:sz w:val="28"/>
          <w:szCs w:val="28"/>
        </w:rPr>
      </w:pPr>
      <w:r w:rsidRPr="00193FCB">
        <w:rPr>
          <w:rFonts w:ascii="Calibri" w:hAnsi="Calibri" w:cs="Calibri"/>
          <w:b/>
          <w:bCs/>
          <w:sz w:val="28"/>
          <w:szCs w:val="28"/>
        </w:rPr>
        <w:t>Abstract</w:t>
      </w:r>
    </w:p>
    <w:p w14:paraId="5FB6C391" w14:textId="77777777" w:rsidR="00193FCB" w:rsidRDefault="00193FCB" w:rsidP="00914EE3">
      <w:pPr>
        <w:shd w:val="clear" w:color="auto" w:fill="FFFFFF"/>
        <w:spacing w:line="288" w:lineRule="atLeast"/>
        <w:textAlignment w:val="baseline"/>
        <w:outlineLvl w:val="2"/>
        <w:rPr>
          <w:rFonts w:ascii="Calibri" w:hAnsi="Calibri" w:cs="Calibri"/>
          <w:b/>
          <w:bCs/>
        </w:rPr>
      </w:pPr>
    </w:p>
    <w:p w14:paraId="2C33B0AD" w14:textId="7E4474B6" w:rsidR="00193FCB" w:rsidRPr="00193FCB" w:rsidRDefault="0034104F" w:rsidP="00914EE3">
      <w:pPr>
        <w:shd w:val="clear" w:color="auto" w:fill="FFFFFF"/>
        <w:spacing w:line="288" w:lineRule="atLeast"/>
        <w:textAlignment w:val="baseline"/>
        <w:outlineLvl w:val="2"/>
        <w:rPr>
          <w:rFonts w:ascii="Calibri" w:hAnsi="Calibri" w:cs="Calibri"/>
          <w:b/>
          <w:bCs/>
          <w:sz w:val="28"/>
          <w:szCs w:val="28"/>
        </w:rPr>
      </w:pPr>
      <w:r>
        <w:rPr>
          <w:rFonts w:ascii="Calibri" w:hAnsi="Calibri" w:cs="Calibri"/>
          <w:b/>
          <w:bCs/>
          <w:sz w:val="28"/>
          <w:szCs w:val="28"/>
        </w:rPr>
        <w:t>Dillon Karst</w:t>
      </w:r>
      <w:r w:rsidR="00193FCB" w:rsidRPr="00193FCB">
        <w:rPr>
          <w:rFonts w:ascii="Calibri" w:hAnsi="Calibri" w:cs="Calibri"/>
          <w:b/>
          <w:bCs/>
          <w:sz w:val="28"/>
          <w:szCs w:val="28"/>
        </w:rPr>
        <w:t>, MD</w:t>
      </w:r>
    </w:p>
    <w:p w14:paraId="6CA97B97" w14:textId="765E03BD" w:rsidR="00193FCB" w:rsidRDefault="00193FCB" w:rsidP="00914EE3">
      <w:pPr>
        <w:shd w:val="clear" w:color="auto" w:fill="FFFFFF"/>
        <w:spacing w:line="288" w:lineRule="atLeast"/>
        <w:textAlignment w:val="baseline"/>
        <w:outlineLvl w:val="2"/>
        <w:rPr>
          <w:rFonts w:ascii="Calibri" w:hAnsi="Calibri" w:cs="Calibri"/>
          <w:b/>
          <w:bCs/>
        </w:rPr>
      </w:pPr>
      <w:r>
        <w:rPr>
          <w:rFonts w:ascii="Calibri" w:hAnsi="Calibri" w:cs="Calibri"/>
          <w:b/>
          <w:bCs/>
        </w:rPr>
        <w:t xml:space="preserve">Northwestern McGaw Family Medicine Residency at </w:t>
      </w:r>
      <w:proofErr w:type="spellStart"/>
      <w:r>
        <w:rPr>
          <w:rFonts w:ascii="Calibri" w:hAnsi="Calibri" w:cs="Calibri"/>
          <w:b/>
          <w:bCs/>
        </w:rPr>
        <w:t>Delnor</w:t>
      </w:r>
      <w:proofErr w:type="spellEnd"/>
    </w:p>
    <w:p w14:paraId="43784247" w14:textId="77777777" w:rsidR="00852B5F" w:rsidRDefault="00852B5F" w:rsidP="002D3A17">
      <w:pPr>
        <w:tabs>
          <w:tab w:val="left" w:pos="2320"/>
        </w:tabs>
        <w:rPr>
          <w:rFonts w:ascii="Calibri" w:hAnsi="Calibri" w:cs="Calibri"/>
          <w:b/>
          <w:bCs/>
        </w:rPr>
      </w:pPr>
    </w:p>
    <w:p w14:paraId="1CC6F039" w14:textId="69A7DB7C" w:rsidR="0034104F" w:rsidRPr="0034104F" w:rsidRDefault="0034104F" w:rsidP="0034104F">
      <w:pPr>
        <w:rPr>
          <w:rFonts w:ascii="Calibri" w:hAnsi="Calibri" w:cs="Calibri"/>
          <w:b/>
          <w:bCs/>
          <w:sz w:val="22"/>
          <w:szCs w:val="22"/>
        </w:rPr>
      </w:pPr>
      <w:r>
        <w:rPr>
          <w:rFonts w:ascii="Calibri" w:hAnsi="Calibri" w:cs="Calibri"/>
          <w:b/>
          <w:bCs/>
          <w:sz w:val="22"/>
          <w:szCs w:val="22"/>
        </w:rPr>
        <w:t xml:space="preserve">Title: </w:t>
      </w:r>
      <w:r w:rsidRPr="0034104F">
        <w:rPr>
          <w:rFonts w:ascii="Calibri" w:hAnsi="Calibri" w:cs="Calibri"/>
          <w:b/>
          <w:bCs/>
          <w:sz w:val="22"/>
          <w:szCs w:val="22"/>
        </w:rPr>
        <w:t>A Cross-Sectional Analysis of the Prevalence Of Screening for Primary Hyperaldosteronism in Patients with Resistant Hypertension in a Primary Care Setting.</w:t>
      </w:r>
    </w:p>
    <w:p w14:paraId="608DD268" w14:textId="77777777" w:rsidR="0034104F" w:rsidRDefault="0034104F" w:rsidP="0034104F">
      <w:pPr>
        <w:rPr>
          <w:rFonts w:ascii="Calibri" w:hAnsi="Calibri" w:cs="Calibri"/>
          <w:b/>
          <w:bCs/>
          <w:sz w:val="22"/>
          <w:szCs w:val="22"/>
        </w:rPr>
      </w:pPr>
    </w:p>
    <w:p w14:paraId="16FA7A40" w14:textId="65CF6620" w:rsidR="0034104F" w:rsidRPr="0034104F" w:rsidRDefault="0034104F" w:rsidP="0034104F">
      <w:pPr>
        <w:rPr>
          <w:rFonts w:ascii="Calibri" w:hAnsi="Calibri" w:cs="Calibri"/>
          <w:sz w:val="22"/>
          <w:szCs w:val="22"/>
        </w:rPr>
      </w:pPr>
      <w:r w:rsidRPr="0034104F">
        <w:rPr>
          <w:rFonts w:ascii="Calibri" w:hAnsi="Calibri" w:cs="Calibri"/>
          <w:b/>
          <w:bCs/>
          <w:sz w:val="22"/>
          <w:szCs w:val="22"/>
        </w:rPr>
        <w:t>Background: </w:t>
      </w:r>
      <w:r w:rsidRPr="0034104F">
        <w:rPr>
          <w:rFonts w:ascii="Calibri" w:hAnsi="Calibri" w:cs="Calibri"/>
          <w:sz w:val="22"/>
          <w:szCs w:val="22"/>
        </w:rPr>
        <w:t xml:space="preserve">Primary Hyperaldosteronism (PH) is believed to affect 5-10% of adults; however, recent studies have demonstrated that prevalence could be up to 3-fold higher affecting up to 1 in 5 patients with resistant hypertension. Despite this &lt;1% of people with resistant hypertension are appropriately screened. Studies reveal that screening rates are higher in patients with certain comorbidities, such as in cases of hypokalemia or adrenal masses, but lower in others, such as those with resistant hypertension and obstructive sleep apnea. Our research study seeks to identify the prevalence of </w:t>
      </w:r>
      <w:proofErr w:type="spellStart"/>
      <w:r w:rsidRPr="0034104F">
        <w:rPr>
          <w:rFonts w:ascii="Calibri" w:hAnsi="Calibri" w:cs="Calibri"/>
          <w:sz w:val="22"/>
          <w:szCs w:val="22"/>
        </w:rPr>
        <w:t>resistent</w:t>
      </w:r>
      <w:proofErr w:type="spellEnd"/>
      <w:r w:rsidRPr="0034104F">
        <w:rPr>
          <w:rFonts w:ascii="Calibri" w:hAnsi="Calibri" w:cs="Calibri"/>
          <w:sz w:val="22"/>
          <w:szCs w:val="22"/>
        </w:rPr>
        <w:t xml:space="preserve"> hypertension in a family medicine residency clinic in suburban Illinois and how screening for PH via the aldosterone-renin ratio (ARR) affects medical management. We posit that the rate of mineralocorticoid antagonist (MRA) prescription differs based upon appropriately screening for PH.</w:t>
      </w:r>
    </w:p>
    <w:p w14:paraId="62F72526" w14:textId="77777777" w:rsidR="0034104F" w:rsidRDefault="0034104F" w:rsidP="0034104F">
      <w:pPr>
        <w:rPr>
          <w:rFonts w:ascii="Calibri" w:hAnsi="Calibri" w:cs="Calibri"/>
          <w:b/>
          <w:bCs/>
          <w:sz w:val="22"/>
          <w:szCs w:val="22"/>
        </w:rPr>
      </w:pPr>
    </w:p>
    <w:p w14:paraId="2230A96E" w14:textId="3BCDD87E" w:rsidR="0034104F" w:rsidRPr="0034104F" w:rsidRDefault="0034104F" w:rsidP="0034104F">
      <w:pPr>
        <w:rPr>
          <w:rFonts w:ascii="Calibri" w:hAnsi="Calibri" w:cs="Calibri"/>
          <w:sz w:val="22"/>
          <w:szCs w:val="22"/>
        </w:rPr>
      </w:pPr>
      <w:r w:rsidRPr="0034104F">
        <w:rPr>
          <w:rFonts w:ascii="Calibri" w:hAnsi="Calibri" w:cs="Calibri"/>
          <w:b/>
          <w:bCs/>
          <w:sz w:val="22"/>
          <w:szCs w:val="22"/>
        </w:rPr>
        <w:t>Methods: </w:t>
      </w:r>
      <w:r w:rsidRPr="0034104F">
        <w:rPr>
          <w:rFonts w:ascii="Calibri" w:hAnsi="Calibri" w:cs="Calibri"/>
          <w:sz w:val="22"/>
          <w:szCs w:val="22"/>
        </w:rPr>
        <w:t xml:space="preserve">We are conducting a retrospective study of adult patients (age ≥18 years) with hypertension seen at the 298 Randall Road primary care clinic at </w:t>
      </w:r>
      <w:proofErr w:type="spellStart"/>
      <w:r w:rsidRPr="0034104F">
        <w:rPr>
          <w:rFonts w:ascii="Calibri" w:hAnsi="Calibri" w:cs="Calibri"/>
          <w:sz w:val="22"/>
          <w:szCs w:val="22"/>
        </w:rPr>
        <w:t>Delnor</w:t>
      </w:r>
      <w:proofErr w:type="spellEnd"/>
      <w:r w:rsidRPr="0034104F">
        <w:rPr>
          <w:rFonts w:ascii="Calibri" w:hAnsi="Calibri" w:cs="Calibri"/>
          <w:sz w:val="22"/>
          <w:szCs w:val="22"/>
        </w:rPr>
        <w:t xml:space="preserve"> Hospital. We are identifying patients with a diagnosis of resistant hypertension based on the International Classification of Diseases, Ninth and Tenth Revision (ICD‐9, ICD‐10) codes. We identified candidates for PA screening as patients who met at least one of the criteria for resistant hypertension according to the 2016 Endocrine Society Joint Guidelines and our data points include the aldosterone-renin ratio, potassium levels, diagnosis of OSA, diagnosis of resistant hypertension on 3 or more medicines, and MRA prescription.</w:t>
      </w:r>
    </w:p>
    <w:p w14:paraId="7B14273E" w14:textId="77777777" w:rsidR="0034104F" w:rsidRDefault="0034104F" w:rsidP="0034104F">
      <w:pPr>
        <w:rPr>
          <w:rFonts w:ascii="Calibri" w:hAnsi="Calibri" w:cs="Calibri"/>
          <w:b/>
          <w:bCs/>
          <w:sz w:val="22"/>
          <w:szCs w:val="22"/>
        </w:rPr>
      </w:pPr>
    </w:p>
    <w:p w14:paraId="3FE09752" w14:textId="3E5918AB" w:rsidR="0034104F" w:rsidRPr="0034104F" w:rsidRDefault="0034104F" w:rsidP="0034104F">
      <w:pPr>
        <w:rPr>
          <w:rFonts w:ascii="Calibri" w:hAnsi="Calibri" w:cs="Calibri"/>
          <w:sz w:val="22"/>
          <w:szCs w:val="22"/>
        </w:rPr>
      </w:pPr>
      <w:r w:rsidRPr="0034104F">
        <w:rPr>
          <w:rFonts w:ascii="Calibri" w:hAnsi="Calibri" w:cs="Calibri"/>
          <w:b/>
          <w:bCs/>
          <w:sz w:val="22"/>
          <w:szCs w:val="22"/>
        </w:rPr>
        <w:t>Results and Conclusions: </w:t>
      </w:r>
      <w:r w:rsidRPr="0034104F">
        <w:rPr>
          <w:rFonts w:ascii="Calibri" w:hAnsi="Calibri" w:cs="Calibri"/>
          <w:sz w:val="22"/>
          <w:szCs w:val="22"/>
        </w:rPr>
        <w:t>Review is currently in progress.</w:t>
      </w:r>
    </w:p>
    <w:p w14:paraId="5425B34C" w14:textId="05EAC2AA" w:rsidR="004340C2" w:rsidRPr="00193FCB" w:rsidRDefault="004340C2" w:rsidP="0034104F">
      <w:pPr>
        <w:rPr>
          <w:rFonts w:ascii="Calibri" w:hAnsi="Calibri" w:cs="Calibri"/>
          <w:color w:val="000000"/>
          <w:shd w:val="clear" w:color="auto" w:fill="FFFFFF"/>
        </w:rPr>
      </w:pPr>
    </w:p>
    <w:sectPr w:rsidR="004340C2" w:rsidRPr="00193FCB" w:rsidSect="00D701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7B7EC" w14:textId="77777777" w:rsidR="009A4FB6" w:rsidRDefault="009A4FB6" w:rsidP="00914EE3">
      <w:r>
        <w:separator/>
      </w:r>
    </w:p>
  </w:endnote>
  <w:endnote w:type="continuationSeparator" w:id="0">
    <w:p w14:paraId="24656526" w14:textId="77777777" w:rsidR="009A4FB6" w:rsidRDefault="009A4FB6" w:rsidP="0091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DF85" w14:textId="4E175B30" w:rsidR="00914EE3" w:rsidRPr="00502F31" w:rsidRDefault="003628D9">
    <w:pPr>
      <w:pStyle w:val="Footer"/>
      <w:rPr>
        <w:rFonts w:ascii="Calibri" w:hAnsi="Calibri" w:cs="Calibri"/>
      </w:rPr>
    </w:pPr>
    <w:r w:rsidRPr="00502F31">
      <w:rPr>
        <w:rFonts w:ascii="Calibri" w:hAnsi="Calibri" w:cs="Calibri"/>
      </w:rPr>
      <w:t>202</w:t>
    </w:r>
    <w:r w:rsidR="00193FCB">
      <w:rPr>
        <w:rFonts w:ascii="Calibri" w:hAnsi="Calibri" w:cs="Calibri"/>
      </w:rPr>
      <w:t>5</w:t>
    </w:r>
    <w:r w:rsidR="00B44CF8" w:rsidRPr="00502F31">
      <w:rPr>
        <w:rFonts w:ascii="Calibri" w:hAnsi="Calibri" w:cs="Calibri"/>
      </w:rPr>
      <w:t xml:space="preserve"> </w:t>
    </w:r>
    <w:r w:rsidR="00914EE3" w:rsidRPr="00502F31">
      <w:rPr>
        <w:rFonts w:ascii="Calibri" w:hAnsi="Calibri" w:cs="Calibri"/>
      </w:rPr>
      <w:t>Resident Research Day</w:t>
    </w:r>
    <w:r w:rsidR="00914EE3" w:rsidRPr="00502F31">
      <w:rPr>
        <w:rFonts w:ascii="Calibri" w:hAnsi="Calibri" w:cs="Calibri"/>
      </w:rPr>
      <w:br/>
      <w:t>Northwestern Department of Family and Community Medicine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06089" w14:textId="77777777" w:rsidR="009A4FB6" w:rsidRDefault="009A4FB6" w:rsidP="00914EE3">
      <w:r>
        <w:separator/>
      </w:r>
    </w:p>
  </w:footnote>
  <w:footnote w:type="continuationSeparator" w:id="0">
    <w:p w14:paraId="2365426A" w14:textId="77777777" w:rsidR="009A4FB6" w:rsidRDefault="009A4FB6" w:rsidP="0091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DA"/>
    <w:rsid w:val="000546BB"/>
    <w:rsid w:val="000929EA"/>
    <w:rsid w:val="000A4F89"/>
    <w:rsid w:val="00193FCB"/>
    <w:rsid w:val="001D57C6"/>
    <w:rsid w:val="00263C56"/>
    <w:rsid w:val="002D3A17"/>
    <w:rsid w:val="00314436"/>
    <w:rsid w:val="0032245E"/>
    <w:rsid w:val="0034104F"/>
    <w:rsid w:val="003628D9"/>
    <w:rsid w:val="0038771B"/>
    <w:rsid w:val="003A6AA6"/>
    <w:rsid w:val="003B218D"/>
    <w:rsid w:val="003D20D4"/>
    <w:rsid w:val="00403178"/>
    <w:rsid w:val="0040791C"/>
    <w:rsid w:val="004340C2"/>
    <w:rsid w:val="00460073"/>
    <w:rsid w:val="004B327C"/>
    <w:rsid w:val="00502F31"/>
    <w:rsid w:val="00531116"/>
    <w:rsid w:val="00655887"/>
    <w:rsid w:val="0069635A"/>
    <w:rsid w:val="006C77DA"/>
    <w:rsid w:val="00754C15"/>
    <w:rsid w:val="008207D4"/>
    <w:rsid w:val="008334E6"/>
    <w:rsid w:val="0083615E"/>
    <w:rsid w:val="00852B5F"/>
    <w:rsid w:val="00883671"/>
    <w:rsid w:val="008F793D"/>
    <w:rsid w:val="00905DD6"/>
    <w:rsid w:val="00914EE3"/>
    <w:rsid w:val="009A4FB6"/>
    <w:rsid w:val="009D1298"/>
    <w:rsid w:val="00A92E35"/>
    <w:rsid w:val="00AC563B"/>
    <w:rsid w:val="00B427F4"/>
    <w:rsid w:val="00B44CF8"/>
    <w:rsid w:val="00CF2650"/>
    <w:rsid w:val="00D7016C"/>
    <w:rsid w:val="00DB0675"/>
    <w:rsid w:val="00DB176D"/>
    <w:rsid w:val="00E56402"/>
    <w:rsid w:val="00F07B17"/>
    <w:rsid w:val="00FB111E"/>
    <w:rsid w:val="256E9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6112"/>
  <w15:chartTrackingRefBased/>
  <w15:docId w15:val="{6A91BA89-4AEB-B84C-9040-470C8A7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32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7DA"/>
    <w:rPr>
      <w:color w:val="0563C1" w:themeColor="hyperlink"/>
      <w:u w:val="single"/>
    </w:rPr>
  </w:style>
  <w:style w:type="character" w:customStyle="1" w:styleId="UnresolvedMention1">
    <w:name w:val="Unresolved Mention1"/>
    <w:basedOn w:val="DefaultParagraphFont"/>
    <w:uiPriority w:val="99"/>
    <w:semiHidden/>
    <w:unhideWhenUsed/>
    <w:rsid w:val="006C77DA"/>
    <w:rPr>
      <w:color w:val="605E5C"/>
      <w:shd w:val="clear" w:color="auto" w:fill="E1DFDD"/>
    </w:rPr>
  </w:style>
  <w:style w:type="character" w:customStyle="1" w:styleId="Heading3Char">
    <w:name w:val="Heading 3 Char"/>
    <w:basedOn w:val="DefaultParagraphFont"/>
    <w:link w:val="Heading3"/>
    <w:uiPriority w:val="9"/>
    <w:rsid w:val="004B327C"/>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914EE3"/>
    <w:pPr>
      <w:tabs>
        <w:tab w:val="center" w:pos="4680"/>
        <w:tab w:val="right" w:pos="9360"/>
      </w:tabs>
    </w:pPr>
  </w:style>
  <w:style w:type="character" w:customStyle="1" w:styleId="HeaderChar">
    <w:name w:val="Header Char"/>
    <w:basedOn w:val="DefaultParagraphFont"/>
    <w:link w:val="Header"/>
    <w:uiPriority w:val="99"/>
    <w:rsid w:val="00914EE3"/>
  </w:style>
  <w:style w:type="paragraph" w:styleId="Footer">
    <w:name w:val="footer"/>
    <w:basedOn w:val="Normal"/>
    <w:link w:val="FooterChar"/>
    <w:uiPriority w:val="99"/>
    <w:unhideWhenUsed/>
    <w:rsid w:val="00914EE3"/>
    <w:pPr>
      <w:tabs>
        <w:tab w:val="center" w:pos="4680"/>
        <w:tab w:val="right" w:pos="9360"/>
      </w:tabs>
    </w:pPr>
  </w:style>
  <w:style w:type="character" w:customStyle="1" w:styleId="FooterChar">
    <w:name w:val="Footer Char"/>
    <w:basedOn w:val="DefaultParagraphFont"/>
    <w:link w:val="Footer"/>
    <w:uiPriority w:val="99"/>
    <w:rsid w:val="00914EE3"/>
  </w:style>
  <w:style w:type="paragraph" w:styleId="BalloonText">
    <w:name w:val="Balloon Text"/>
    <w:basedOn w:val="Normal"/>
    <w:link w:val="BalloonTextChar"/>
    <w:uiPriority w:val="99"/>
    <w:semiHidden/>
    <w:unhideWhenUsed/>
    <w:rsid w:val="00820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7D4"/>
    <w:rPr>
      <w:rFonts w:ascii="Segoe UI" w:hAnsi="Segoe UI" w:cs="Segoe UI"/>
      <w:sz w:val="18"/>
      <w:szCs w:val="18"/>
    </w:rPr>
  </w:style>
  <w:style w:type="paragraph" w:styleId="NormalWeb">
    <w:name w:val="Normal (Web)"/>
    <w:basedOn w:val="Normal"/>
    <w:uiPriority w:val="99"/>
    <w:semiHidden/>
    <w:unhideWhenUsed/>
    <w:rsid w:val="003B218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401390">
      <w:bodyDiv w:val="1"/>
      <w:marLeft w:val="0"/>
      <w:marRight w:val="0"/>
      <w:marTop w:val="0"/>
      <w:marBottom w:val="0"/>
      <w:divBdr>
        <w:top w:val="none" w:sz="0" w:space="0" w:color="auto"/>
        <w:left w:val="none" w:sz="0" w:space="0" w:color="auto"/>
        <w:bottom w:val="none" w:sz="0" w:space="0" w:color="auto"/>
        <w:right w:val="none" w:sz="0" w:space="0" w:color="auto"/>
      </w:divBdr>
    </w:div>
    <w:div w:id="384915326">
      <w:bodyDiv w:val="1"/>
      <w:marLeft w:val="0"/>
      <w:marRight w:val="0"/>
      <w:marTop w:val="0"/>
      <w:marBottom w:val="0"/>
      <w:divBdr>
        <w:top w:val="none" w:sz="0" w:space="0" w:color="auto"/>
        <w:left w:val="none" w:sz="0" w:space="0" w:color="auto"/>
        <w:bottom w:val="none" w:sz="0" w:space="0" w:color="auto"/>
        <w:right w:val="none" w:sz="0" w:space="0" w:color="auto"/>
      </w:divBdr>
    </w:div>
    <w:div w:id="434248036">
      <w:bodyDiv w:val="1"/>
      <w:marLeft w:val="0"/>
      <w:marRight w:val="0"/>
      <w:marTop w:val="0"/>
      <w:marBottom w:val="0"/>
      <w:divBdr>
        <w:top w:val="none" w:sz="0" w:space="0" w:color="auto"/>
        <w:left w:val="none" w:sz="0" w:space="0" w:color="auto"/>
        <w:bottom w:val="none" w:sz="0" w:space="0" w:color="auto"/>
        <w:right w:val="none" w:sz="0" w:space="0" w:color="auto"/>
      </w:divBdr>
    </w:div>
    <w:div w:id="643897742">
      <w:bodyDiv w:val="1"/>
      <w:marLeft w:val="0"/>
      <w:marRight w:val="0"/>
      <w:marTop w:val="0"/>
      <w:marBottom w:val="0"/>
      <w:divBdr>
        <w:top w:val="none" w:sz="0" w:space="0" w:color="auto"/>
        <w:left w:val="none" w:sz="0" w:space="0" w:color="auto"/>
        <w:bottom w:val="none" w:sz="0" w:space="0" w:color="auto"/>
        <w:right w:val="none" w:sz="0" w:space="0" w:color="auto"/>
      </w:divBdr>
    </w:div>
    <w:div w:id="693848051">
      <w:bodyDiv w:val="1"/>
      <w:marLeft w:val="0"/>
      <w:marRight w:val="0"/>
      <w:marTop w:val="0"/>
      <w:marBottom w:val="0"/>
      <w:divBdr>
        <w:top w:val="none" w:sz="0" w:space="0" w:color="auto"/>
        <w:left w:val="none" w:sz="0" w:space="0" w:color="auto"/>
        <w:bottom w:val="none" w:sz="0" w:space="0" w:color="auto"/>
        <w:right w:val="none" w:sz="0" w:space="0" w:color="auto"/>
      </w:divBdr>
    </w:div>
    <w:div w:id="720175151">
      <w:bodyDiv w:val="1"/>
      <w:marLeft w:val="0"/>
      <w:marRight w:val="0"/>
      <w:marTop w:val="0"/>
      <w:marBottom w:val="0"/>
      <w:divBdr>
        <w:top w:val="none" w:sz="0" w:space="0" w:color="auto"/>
        <w:left w:val="none" w:sz="0" w:space="0" w:color="auto"/>
        <w:bottom w:val="none" w:sz="0" w:space="0" w:color="auto"/>
        <w:right w:val="none" w:sz="0" w:space="0" w:color="auto"/>
      </w:divBdr>
    </w:div>
    <w:div w:id="802310763">
      <w:bodyDiv w:val="1"/>
      <w:marLeft w:val="0"/>
      <w:marRight w:val="0"/>
      <w:marTop w:val="0"/>
      <w:marBottom w:val="0"/>
      <w:divBdr>
        <w:top w:val="none" w:sz="0" w:space="0" w:color="auto"/>
        <w:left w:val="none" w:sz="0" w:space="0" w:color="auto"/>
        <w:bottom w:val="none" w:sz="0" w:space="0" w:color="auto"/>
        <w:right w:val="none" w:sz="0" w:space="0" w:color="auto"/>
      </w:divBdr>
    </w:div>
    <w:div w:id="1063869471">
      <w:bodyDiv w:val="1"/>
      <w:marLeft w:val="0"/>
      <w:marRight w:val="0"/>
      <w:marTop w:val="0"/>
      <w:marBottom w:val="0"/>
      <w:divBdr>
        <w:top w:val="none" w:sz="0" w:space="0" w:color="auto"/>
        <w:left w:val="none" w:sz="0" w:space="0" w:color="auto"/>
        <w:bottom w:val="none" w:sz="0" w:space="0" w:color="auto"/>
        <w:right w:val="none" w:sz="0" w:space="0" w:color="auto"/>
      </w:divBdr>
    </w:div>
    <w:div w:id="1603999641">
      <w:bodyDiv w:val="1"/>
      <w:marLeft w:val="0"/>
      <w:marRight w:val="0"/>
      <w:marTop w:val="0"/>
      <w:marBottom w:val="0"/>
      <w:divBdr>
        <w:top w:val="none" w:sz="0" w:space="0" w:color="auto"/>
        <w:left w:val="none" w:sz="0" w:space="0" w:color="auto"/>
        <w:bottom w:val="none" w:sz="0" w:space="0" w:color="auto"/>
        <w:right w:val="none" w:sz="0" w:space="0" w:color="auto"/>
      </w:divBdr>
    </w:div>
    <w:div w:id="1620800498">
      <w:bodyDiv w:val="1"/>
      <w:marLeft w:val="0"/>
      <w:marRight w:val="0"/>
      <w:marTop w:val="0"/>
      <w:marBottom w:val="0"/>
      <w:divBdr>
        <w:top w:val="none" w:sz="0" w:space="0" w:color="auto"/>
        <w:left w:val="none" w:sz="0" w:space="0" w:color="auto"/>
        <w:bottom w:val="none" w:sz="0" w:space="0" w:color="auto"/>
        <w:right w:val="none" w:sz="0" w:space="0" w:color="auto"/>
      </w:divBdr>
    </w:div>
    <w:div w:id="1701861503">
      <w:bodyDiv w:val="1"/>
      <w:marLeft w:val="0"/>
      <w:marRight w:val="0"/>
      <w:marTop w:val="0"/>
      <w:marBottom w:val="0"/>
      <w:divBdr>
        <w:top w:val="none" w:sz="0" w:space="0" w:color="auto"/>
        <w:left w:val="none" w:sz="0" w:space="0" w:color="auto"/>
        <w:bottom w:val="none" w:sz="0" w:space="0" w:color="auto"/>
        <w:right w:val="none" w:sz="0" w:space="0" w:color="auto"/>
      </w:divBdr>
    </w:div>
    <w:div w:id="20854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 Doyle</dc:creator>
  <cp:keywords/>
  <dc:description/>
  <cp:lastModifiedBy>Menon, Jeanne</cp:lastModifiedBy>
  <cp:revision>2</cp:revision>
  <cp:lastPrinted>2021-03-03T22:15:00Z</cp:lastPrinted>
  <dcterms:created xsi:type="dcterms:W3CDTF">2025-03-03T14:31:00Z</dcterms:created>
  <dcterms:modified xsi:type="dcterms:W3CDTF">2025-03-03T14:31:00Z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b86c14-7a6f-495c-8ad3-202986669410_Enabled">
    <vt:lpwstr>true</vt:lpwstr>
  </property>
  <property fmtid="{D5CDD505-2E9C-101B-9397-08002B2CF9AE}" pid="3" name="MSIP_Label_b1b86c14-7a6f-495c-8ad3-202986669410_SetDate">
    <vt:lpwstr>2025-02-18T22:55:21Z</vt:lpwstr>
  </property>
  <property fmtid="{D5CDD505-2E9C-101B-9397-08002B2CF9AE}" pid="4" name="MSIP_Label_b1b86c14-7a6f-495c-8ad3-202986669410_Method">
    <vt:lpwstr>Standard</vt:lpwstr>
  </property>
  <property fmtid="{D5CDD505-2E9C-101B-9397-08002B2CF9AE}" pid="5" name="MSIP_Label_b1b86c14-7a6f-495c-8ad3-202986669410_Name">
    <vt:lpwstr>Internal</vt:lpwstr>
  </property>
  <property fmtid="{D5CDD505-2E9C-101B-9397-08002B2CF9AE}" pid="6" name="MSIP_Label_b1b86c14-7a6f-495c-8ad3-202986669410_SiteId">
    <vt:lpwstr>2596038f-3ea4-4f0c-aed1-066eb6544c3b</vt:lpwstr>
  </property>
  <property fmtid="{D5CDD505-2E9C-101B-9397-08002B2CF9AE}" pid="7" name="MSIP_Label_b1b86c14-7a6f-495c-8ad3-202986669410_ActionId">
    <vt:lpwstr>fdeed599-c19f-44f4-bb8e-08cf1310c476</vt:lpwstr>
  </property>
  <property fmtid="{D5CDD505-2E9C-101B-9397-08002B2CF9AE}" pid="8" name="MSIP_Label_b1b86c14-7a6f-495c-8ad3-202986669410_ContentBits">
    <vt:lpwstr>0</vt:lpwstr>
  </property>
  <property fmtid="{D5CDD505-2E9C-101B-9397-08002B2CF9AE}" pid="9" name="MSIP_Label_b1b86c14-7a6f-495c-8ad3-202986669410_Tag">
    <vt:lpwstr>10, 3, 0, 2</vt:lpwstr>
  </property>
</Properties>
</file>